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MODULE 01: CHECK-IN TO TALENT MANAGEMENT 4.0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Worksheet 01.1 - First steps to define talent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23925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Steg 01 - Braindump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 börjar med en enkel metod som används i början av varje kreativ process, en braindump. </w:t>
      </w:r>
    </w:p>
    <w:tbl>
      <w:tblPr>
        <w:tblStyle w:val="Table1"/>
        <w:tblW w:w="9912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9912"/>
        <w:tblGridChange w:id="0">
          <w:tblGrid>
            <w:gridCol w:w="9912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Utför en 5-minuters brainstorming angående termen "Talent". Skriv ner allt som kommer att tänka på i form av en lista nedan.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4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0"/>
                <w:rtl w:val="0"/>
              </w:rPr>
              <w:t xml:space="preserve">anke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Steg 02: Strukturerad brainstorming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Nu är det dags att styra ditt kreativa potential på ett mer systematiskt sätt. Följ varje steg enligt beskrivningen nedan. Denna övning bör inte ta längre än 10-15 minuter</w:t>
      </w:r>
    </w:p>
    <w:tbl>
      <w:tblPr>
        <w:tblStyle w:val="Table2"/>
        <w:tblW w:w="9912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4957"/>
        <w:gridCol w:w="4955"/>
        <w:tblGridChange w:id="0">
          <w:tblGrid>
            <w:gridCol w:w="4957"/>
            <w:gridCol w:w="4955"/>
          </w:tblGrid>
        </w:tblGridChange>
      </w:tblGrid>
      <w:tr>
        <w:trPr>
          <w:trHeight w:val="1714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Tänk på ditt företag och din personal. Vilka är nyckelfunktionerna hos en bra anställd? Detta kan vara många saker (sociala färdigheter, specifik expertis, ledningsförmåga osv.)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Om du tänker på högpresterande anställda. Vad gör dem enastående? Hur skiljer de sig från en “bra” kollega? Lista deras funktioner / skillnader nedan.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4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b w:val="0"/>
                <w:rtl w:val="0"/>
              </w:rPr>
              <w:t xml:space="preserve">unktion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b w:val="0"/>
                <w:rtl w:val="0"/>
              </w:rPr>
              <w:t xml:space="preserve">unktion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unktion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unktion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02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För mer information, gå till vår projektwebbplats</w:t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eller vår facebook-sida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10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8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9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13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12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10.png"/><Relationship Id="rId3" Type="http://schemas.openxmlformats.org/officeDocument/2006/relationships/image" Target="media/image3.png"/><Relationship Id="rId4" Type="http://schemas.openxmlformats.org/officeDocument/2006/relationships/image" Target="media/image12.jpg"/><Relationship Id="rId5" Type="http://schemas.openxmlformats.org/officeDocument/2006/relationships/image" Target="media/image2.png"/><Relationship Id="rId6" Type="http://schemas.openxmlformats.org/officeDocument/2006/relationships/image" Target="media/image1.jpg"/><Relationship Id="rId7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