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ASSESSMENT MODULE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Key questions for Learning Unit 01 - 03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6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36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Assessment of Module 01: Check-in to Talent Management 4.0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Q01: Which statements are correct?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term talent can be universally defined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Talent depends on the (business) context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Talent can be naturally given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Everybody has talents that can become important at some point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Comment: There is no universal definition of talent available, as talent is something very individual and context dependent.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  <w:t xml:space="preserve">Q02: Integrated or inclusive talent management aims to make best use of the talent(s) of each member of staff to deal with current and upcoming challenges of an organisation.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Q03: Which statement is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correct?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Talent Management is affected by many factors like demographic, economic and climate change.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Changes regarding digital technologies play a minor role for talent management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Organisations and their people will require qualities like openness, willingness to learn and flexibility.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Comment: Digital technologies are changing our societies rapidly – they have effects on the way we live, we do business and we manage talent.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Q04: A creed should be a very detailed and long statement about a company’s vision, values and goals.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Correct Answer: A creed should be clear and simple. It consists of core principles, values and mutual expectations that guide the behaviour of an organisation and its people. It´s a very important mission statement that guides all talent management efforts.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Q05: Which statement is correct? Talent Management aims to…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 the capacity of an organisation to react adequately to changes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focus only on the most talented people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the right people and put them in the right positions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Comment: An integrated talent management system includes aims to capture and develop the talent of all employees. At the same time, critical roles receive a special focus to secure these positions sustainably.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Q06: A successful talent management strategy…?</w:t>
      </w:r>
    </w:p>
    <w:p w:rsidR="00000000" w:rsidDel="00000000" w:rsidP="00000000" w:rsidRDefault="00000000" w:rsidRPr="00000000" w14:paraId="00000032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should be aligned with the business strategy</w:t>
      </w:r>
    </w:p>
    <w:p w:rsidR="00000000" w:rsidDel="00000000" w:rsidP="00000000" w:rsidRDefault="00000000" w:rsidRPr="00000000" w14:paraId="00000033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address the company culture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include all important HR practices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Q07: The talent dilemmas diagnostic tool addresses the top ten talent dilemmas that organisations should factor in, when building a talent management strategy. It helps an organisation to orientate and align its strategy so it fits an organisation.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Q08: Talent Segmentation…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 process of dividing talents in different groups, so they can be better taken care of.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process of identifying the job roles that are critical to an organisations success.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 staff selection process that aims to identify positions that can be made redundant.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Q09: Which statement is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correct?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competency model helps an organisation to clearly describe skills, knowledge and behaviours that are critical to business success and effectiveness.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Competencies usually include soft factors and skills that make a difference in getting tasks done successfully.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good competency model is something general that can be used in all different kinds of organisations and companies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Comment: A good competency model is tailored to the needs and circumstances of an organisation and represents a collection of behavioural descriptions considered to be critical to success.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Q10: What are the general types of competencies (as per the model of Erpenbeck &amp; Rosestiel 2007)?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competencies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and communicative competencies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competencies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competencies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Competencies in methods and subject matter expertise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Comment: Digital competencies would not be a separate type of competencies as it would fall into the category “competencies in methods and subject matter expertise”.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To find out more go to our project website</w:t>
      </w:r>
    </w:p>
    <w:p w:rsidR="00000000" w:rsidDel="00000000" w:rsidP="00000000" w:rsidRDefault="00000000" w:rsidRPr="00000000" w14:paraId="00000052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or our facebook page</w:t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37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36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37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37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374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371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36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36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37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37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8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⌧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11CFD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11CFD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1CFD"/>
  </w:style>
  <w:style w:type="character" w:styleId="Heading1Char" w:customStyle="1">
    <w:name w:val="Heading 1 Char"/>
    <w:basedOn w:val="DefaultParagraphFont"/>
    <w:link w:val="Heading1"/>
    <w:uiPriority w:val="9"/>
    <w:rsid w:val="00011CFD"/>
    <w:rPr>
      <w:rFonts w:ascii="Trebuchet MS" w:hAnsi="Trebuchet MS" w:cstheme="majorBidi" w:eastAsiaTheme="majorEastAsia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11CFD"/>
    <w:rPr>
      <w:rFonts w:ascii="Trebuchet MS" w:hAnsi="Trebuchet MS" w:cstheme="majorBidi" w:eastAsiaTheme="majorEastAsia"/>
      <w:color w:val="2e74b5" w:themeColor="accent1" w:themeShade="0000BF"/>
      <w:sz w:val="26"/>
      <w:szCs w:val="26"/>
    </w:rPr>
  </w:style>
  <w:style w:type="paragraph" w:styleId="NoSpacing">
    <w:name w:val="No Spacing"/>
    <w:link w:val="NoSpacingChar"/>
    <w:uiPriority w:val="1"/>
    <w:qFormat w:val="1"/>
    <w:rsid w:val="001C5698"/>
    <w:pPr>
      <w:spacing w:after="0" w:line="240" w:lineRule="auto"/>
    </w:pPr>
    <w:rPr>
      <w:rFonts w:eastAsiaTheme="minorEastAsia"/>
      <w:lang w:eastAsia="de-AT"/>
    </w:rPr>
  </w:style>
  <w:style w:type="character" w:styleId="NoSpacingChar" w:customStyle="1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 w:val="1"/>
    <w:rsid w:val="00175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564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4lent.eu/" TargetMode="External"/><Relationship Id="rId10" Type="http://schemas.openxmlformats.org/officeDocument/2006/relationships/image" Target="media/image1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3.png"/><Relationship Id="rId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8.jpg"/><Relationship Id="rId5" Type="http://schemas.openxmlformats.org/officeDocument/2006/relationships/image" Target="media/image9.png"/><Relationship Id="rId6" Type="http://schemas.openxmlformats.org/officeDocument/2006/relationships/image" Target="media/image6.jpg"/><Relationship Id="rId7" Type="http://schemas.openxmlformats.org/officeDocument/2006/relationships/image" Target="media/image7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uq8hVShAQQxylNJA8gvn/PoA==">AMUW2mVy77SsAA+jPItFcgrOSoslmuH61pNls5JGyszFIMpnu0TCSeRekVhbyRJnRPk6EDYWqpfqEqY50sQsqv0vgCaKiArcfXB7hpdNHZJpERjxjZupsbI=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2020-04-17T08:05:00Z</dcterms:created>
  <dc:creator>Thomas Tröbinger</dc:creator>
</cp:coreProperties>
</file>